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F033F" w14:textId="77777777" w:rsidR="001B45BE" w:rsidRPr="001B45BE" w:rsidRDefault="001B45BE" w:rsidP="001B45BE">
      <w:pPr>
        <w:ind w:right="-285"/>
        <w:jc w:val="both"/>
        <w:rPr>
          <w:rFonts w:ascii="Calibri" w:hAnsi="Calibri" w:cs="Calibri"/>
          <w:i/>
          <w:iCs/>
        </w:rPr>
      </w:pPr>
      <w:bookmarkStart w:id="0" w:name="_GoBack"/>
      <w:bookmarkEnd w:id="0"/>
      <w:r w:rsidRPr="001B45BE">
        <w:rPr>
          <w:rFonts w:ascii="Calibri" w:hAnsi="Calibri" w:cs="Calibri"/>
          <w:b/>
          <w:bCs/>
        </w:rPr>
        <w:t>DOMANDA 10</w:t>
      </w:r>
    </w:p>
    <w:p w14:paraId="6D0C5729" w14:textId="77777777" w:rsidR="001B45BE" w:rsidRPr="001B45BE" w:rsidRDefault="001B45BE" w:rsidP="001B45BE">
      <w:pPr>
        <w:ind w:right="-285"/>
        <w:jc w:val="both"/>
        <w:rPr>
          <w:rFonts w:ascii="Calibri" w:hAnsi="Calibri" w:cs="Calibri"/>
          <w:i/>
          <w:iCs/>
        </w:rPr>
      </w:pPr>
      <w:r w:rsidRPr="001B45BE">
        <w:rPr>
          <w:rFonts w:ascii="Calibri" w:hAnsi="Calibri" w:cs="Calibri"/>
          <w:i/>
          <w:iCs/>
          <w:u w:val="single"/>
        </w:rPr>
        <w:t>in considerazione della previsione di cui all'art. 33, comma 2 D. Lgs. 81/15 e della  nota n. 24/2023  emessa dall’Ispettorato Nazionale del Lavoro in forza del quale l'utilizzatore è tenuto a rimborsare al somministratore gli oneri retributivi e previdenziali da questo effettivamente sostenuti in favore dei lavoratori </w:t>
      </w:r>
      <w:r w:rsidRPr="001B45BE">
        <w:rPr>
          <w:rFonts w:ascii="Calibri" w:hAnsi="Calibri" w:cs="Calibri"/>
          <w:i/>
          <w:iCs/>
        </w:rPr>
        <w:t xml:space="preserve">considerato il rapporto triangolare e la responsabilità solidale riferita alla disciplina della somministrazione di lavoro, si chiede conferma che le ore di assenza la cui retribuzione è regolarmente prevista dalla contrattazione collettiva e dalla normativa del lavoro, considerato che se presenti nei cedolini paga devono essere regolarmente rendicontate in fattura ai fini di procedere al relativo assoggettamento </w:t>
      </w:r>
      <w:proofErr w:type="spellStart"/>
      <w:r w:rsidRPr="001B45BE">
        <w:rPr>
          <w:rFonts w:ascii="Calibri" w:hAnsi="Calibri" w:cs="Calibri"/>
          <w:i/>
          <w:iCs/>
        </w:rPr>
        <w:t>irap</w:t>
      </w:r>
      <w:proofErr w:type="spellEnd"/>
      <w:r w:rsidRPr="001B45BE">
        <w:rPr>
          <w:rFonts w:ascii="Calibri" w:hAnsi="Calibri" w:cs="Calibri"/>
          <w:i/>
          <w:iCs/>
        </w:rPr>
        <w:t>, possano essere saldate al costo senza applicazione del margine di agenzia;</w:t>
      </w:r>
    </w:p>
    <w:p w14:paraId="0D78A07B" w14:textId="77777777" w:rsidR="001B45BE" w:rsidRPr="001B45BE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1B45BE">
        <w:rPr>
          <w:rFonts w:ascii="Calibri" w:hAnsi="Calibri" w:cs="Calibri"/>
          <w:b/>
          <w:bCs/>
        </w:rPr>
        <w:t>RISPOSTA 10</w:t>
      </w:r>
    </w:p>
    <w:p w14:paraId="62417CCB" w14:textId="571DE153" w:rsidR="001B45BE" w:rsidRPr="0057782D" w:rsidRDefault="001B45BE" w:rsidP="001B45BE">
      <w:pPr>
        <w:ind w:right="-285"/>
        <w:jc w:val="both"/>
        <w:rPr>
          <w:rFonts w:ascii="Calibri" w:hAnsi="Calibri" w:cs="Calibri"/>
        </w:rPr>
      </w:pPr>
      <w:r w:rsidRPr="001B45BE">
        <w:rPr>
          <w:rFonts w:ascii="Calibri" w:hAnsi="Calibri" w:cs="Calibri"/>
        </w:rPr>
        <w:t>Si pagano i contributi anche sulle assenze.</w:t>
      </w:r>
    </w:p>
    <w:p w14:paraId="055D69CA" w14:textId="6A62D6D0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DOMANDA 1</w:t>
      </w:r>
      <w:r w:rsidR="0057782D">
        <w:rPr>
          <w:rFonts w:ascii="Calibri" w:hAnsi="Calibri" w:cs="Calibri"/>
          <w:b/>
          <w:bCs/>
        </w:rPr>
        <w:t>1</w:t>
      </w:r>
    </w:p>
    <w:p w14:paraId="6BB02F64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Livelli di inquadramento previsti per le figure professionali oggetto del servizio ai sensi del CCNL applicato.</w:t>
      </w:r>
    </w:p>
    <w:p w14:paraId="6116F454" w14:textId="2EAC1E5B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RISPOSTA 1</w:t>
      </w:r>
      <w:r w:rsidR="0057782D">
        <w:rPr>
          <w:rFonts w:ascii="Calibri" w:hAnsi="Calibri" w:cs="Calibri"/>
          <w:b/>
          <w:bCs/>
        </w:rPr>
        <w:t>1</w:t>
      </w:r>
    </w:p>
    <w:p w14:paraId="48A83506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 xml:space="preserve">I livelli di inquadramento per la figura dei farmacisti è D1 e per magazzinieri B1. Per gli Amministrativi i livelli di inquadramento per istruttori amministrativo e direttivo. </w:t>
      </w:r>
    </w:p>
    <w:p w14:paraId="3FA50FA7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</w:p>
    <w:p w14:paraId="3A5651DC" w14:textId="7946BCD4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DOMANDA 1</w:t>
      </w:r>
      <w:r w:rsidR="0057782D">
        <w:rPr>
          <w:rFonts w:ascii="Calibri" w:hAnsi="Calibri" w:cs="Calibri"/>
          <w:b/>
          <w:bCs/>
        </w:rPr>
        <w:t>2</w:t>
      </w:r>
    </w:p>
    <w:p w14:paraId="1C8F36BF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Tasso INAIL applicato per le attività previste dal servizio.</w:t>
      </w:r>
    </w:p>
    <w:p w14:paraId="3D33FE5A" w14:textId="5667D205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RISPOSTA 1</w:t>
      </w:r>
      <w:r w:rsidR="0057782D">
        <w:rPr>
          <w:rFonts w:ascii="Calibri" w:hAnsi="Calibri" w:cs="Calibri"/>
          <w:b/>
          <w:bCs/>
        </w:rPr>
        <w:t>2</w:t>
      </w:r>
    </w:p>
    <w:p w14:paraId="0EB188AF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Il tasso è 4,61 per mille farmacisti e 17.91 per mille magazzinieri.</w:t>
      </w:r>
    </w:p>
    <w:p w14:paraId="2DA526BE" w14:textId="77777777" w:rsidR="0089299F" w:rsidRDefault="0089299F" w:rsidP="001B45BE">
      <w:pPr>
        <w:ind w:right="-285"/>
        <w:jc w:val="both"/>
        <w:rPr>
          <w:rFonts w:ascii="Calibri" w:hAnsi="Calibri" w:cs="Calibri"/>
          <w:b/>
          <w:bCs/>
        </w:rPr>
      </w:pPr>
    </w:p>
    <w:p w14:paraId="4BD547B6" w14:textId="1F4C165A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DOMANDA 1</w:t>
      </w:r>
      <w:r w:rsidR="0057782D">
        <w:rPr>
          <w:rFonts w:ascii="Calibri" w:hAnsi="Calibri" w:cs="Calibri"/>
          <w:b/>
          <w:bCs/>
        </w:rPr>
        <w:t>3</w:t>
      </w:r>
    </w:p>
    <w:p w14:paraId="502CFC6A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 xml:space="preserve">Tipologia di formazione obbligatoria ex </w:t>
      </w:r>
      <w:proofErr w:type="spellStart"/>
      <w:r w:rsidRPr="00A1621A">
        <w:rPr>
          <w:rFonts w:ascii="Calibri" w:hAnsi="Calibri" w:cs="Calibri"/>
        </w:rPr>
        <w:t>D.Lgs.</w:t>
      </w:r>
      <w:proofErr w:type="spellEnd"/>
      <w:r w:rsidRPr="00A1621A">
        <w:rPr>
          <w:rFonts w:ascii="Calibri" w:hAnsi="Calibri" w:cs="Calibri"/>
        </w:rPr>
        <w:t xml:space="preserve"> 81/2008 richiesta (generale o specifica) e indicazione se il relativo costo è ricompreso nella stima del costo del personale.</w:t>
      </w:r>
    </w:p>
    <w:p w14:paraId="68DC4C8A" w14:textId="02B75CDF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RISPOSTA 1</w:t>
      </w:r>
      <w:r w:rsidR="0057782D">
        <w:rPr>
          <w:rFonts w:ascii="Calibri" w:hAnsi="Calibri" w:cs="Calibri"/>
          <w:b/>
          <w:bCs/>
        </w:rPr>
        <w:t>3</w:t>
      </w:r>
    </w:p>
    <w:p w14:paraId="667148C2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lastRenderedPageBreak/>
        <w:t xml:space="preserve">La formazione generica è a carico dell’agenzia, mentre la specifica a carico dell’Amministrazione. </w:t>
      </w:r>
    </w:p>
    <w:p w14:paraId="52E57D0D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</w:p>
    <w:p w14:paraId="48FB339D" w14:textId="78BEC901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DOMANDA 1</w:t>
      </w:r>
      <w:r w:rsidR="0057782D">
        <w:rPr>
          <w:rFonts w:ascii="Calibri" w:hAnsi="Calibri" w:cs="Calibri"/>
          <w:b/>
          <w:bCs/>
        </w:rPr>
        <w:t>4</w:t>
      </w:r>
    </w:p>
    <w:p w14:paraId="67F7EA58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Allegazione del “Patto di Integrità” di cui è richiesta l’accettazione al punto 14 del modello di dichiarazione.</w:t>
      </w:r>
    </w:p>
    <w:p w14:paraId="2CE629C8" w14:textId="7F17C9F1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RISPOSTA 1</w:t>
      </w:r>
      <w:r w:rsidR="0057782D">
        <w:rPr>
          <w:rFonts w:ascii="Calibri" w:hAnsi="Calibri" w:cs="Calibri"/>
          <w:b/>
          <w:bCs/>
        </w:rPr>
        <w:t>4</w:t>
      </w:r>
    </w:p>
    <w:p w14:paraId="14DDA225" w14:textId="77777777" w:rsidR="001B45BE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 xml:space="preserve">Il patto di integrità sarà oggetto di trattativa diretta sul </w:t>
      </w:r>
      <w:proofErr w:type="spellStart"/>
      <w:r w:rsidRPr="00A1621A">
        <w:rPr>
          <w:rFonts w:ascii="Calibri" w:hAnsi="Calibri" w:cs="Calibri"/>
        </w:rPr>
        <w:t>Mepa</w:t>
      </w:r>
      <w:proofErr w:type="spellEnd"/>
      <w:r w:rsidRPr="00A1621A">
        <w:rPr>
          <w:rFonts w:ascii="Calibri" w:hAnsi="Calibri" w:cs="Calibri"/>
        </w:rPr>
        <w:t xml:space="preserve">. </w:t>
      </w:r>
    </w:p>
    <w:p w14:paraId="5ED99D64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</w:p>
    <w:p w14:paraId="5D77F75E" w14:textId="13A0D79F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DOMANDA 1</w:t>
      </w:r>
      <w:r w:rsidR="0057782D">
        <w:rPr>
          <w:rFonts w:ascii="Calibri" w:hAnsi="Calibri" w:cs="Calibri"/>
          <w:b/>
          <w:bCs/>
        </w:rPr>
        <w:t>5</w:t>
      </w:r>
    </w:p>
    <w:p w14:paraId="5E59BC85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 xml:space="preserve">Conferma della libertà di composizione del modello di preventivo; in caso affermativo, indicazione della percentuale di </w:t>
      </w:r>
      <w:proofErr w:type="spellStart"/>
      <w:r w:rsidRPr="00A1621A">
        <w:rPr>
          <w:rFonts w:ascii="Calibri" w:hAnsi="Calibri" w:cs="Calibri"/>
        </w:rPr>
        <w:t>fee</w:t>
      </w:r>
      <w:proofErr w:type="spellEnd"/>
      <w:r w:rsidRPr="00A1621A">
        <w:rPr>
          <w:rFonts w:ascii="Calibri" w:hAnsi="Calibri" w:cs="Calibri"/>
        </w:rPr>
        <w:t xml:space="preserve"> d’agenzia sulla quale applicare l’eventuale ribasso.</w:t>
      </w:r>
    </w:p>
    <w:p w14:paraId="33A21F52" w14:textId="7842C378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>RISPOSTA 1</w:t>
      </w:r>
      <w:r w:rsidR="0057782D">
        <w:rPr>
          <w:rFonts w:ascii="Calibri" w:hAnsi="Calibri" w:cs="Calibri"/>
          <w:b/>
          <w:bCs/>
        </w:rPr>
        <w:t>5</w:t>
      </w:r>
    </w:p>
    <w:p w14:paraId="6D9860EE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 xml:space="preserve">Si </w:t>
      </w:r>
    </w:p>
    <w:p w14:paraId="09CB89FE" w14:textId="075C9864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 xml:space="preserve">DOMANDA </w:t>
      </w:r>
      <w:r w:rsidR="0057782D">
        <w:rPr>
          <w:rFonts w:ascii="Calibri" w:hAnsi="Calibri" w:cs="Calibri"/>
          <w:b/>
          <w:bCs/>
        </w:rPr>
        <w:t>16</w:t>
      </w:r>
    </w:p>
    <w:p w14:paraId="60798EBE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proofErr w:type="spellStart"/>
      <w:r w:rsidRPr="00A1621A">
        <w:rPr>
          <w:rFonts w:ascii="Calibri" w:hAnsi="Calibri" w:cs="Calibri"/>
        </w:rPr>
        <w:t>si</w:t>
      </w:r>
      <w:proofErr w:type="spellEnd"/>
      <w:r w:rsidRPr="00A1621A">
        <w:rPr>
          <w:rFonts w:ascii="Calibri" w:hAnsi="Calibri" w:cs="Calibri"/>
        </w:rPr>
        <w:t xml:space="preserve"> segnale che il </w:t>
      </w:r>
      <w:proofErr w:type="spellStart"/>
      <w:r w:rsidRPr="00A1621A">
        <w:rPr>
          <w:rFonts w:ascii="Calibri" w:hAnsi="Calibri" w:cs="Calibri"/>
        </w:rPr>
        <w:t>ccnl</w:t>
      </w:r>
      <w:proofErr w:type="spellEnd"/>
      <w:r w:rsidRPr="00A1621A">
        <w:rPr>
          <w:rFonts w:ascii="Calibri" w:hAnsi="Calibri" w:cs="Calibri"/>
        </w:rPr>
        <w:t xml:space="preserve"> Funzioni Locali prevede i seguenti livelli fornibili tramite somministrazione:</w:t>
      </w:r>
    </w:p>
    <w:p w14:paraId="3265F514" w14:textId="77777777" w:rsidR="001B45BE" w:rsidRPr="00A1621A" w:rsidRDefault="001B45BE" w:rsidP="001B45BE">
      <w:pPr>
        <w:numPr>
          <w:ilvl w:val="0"/>
          <w:numId w:val="1"/>
        </w:num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Operatore esperto</w:t>
      </w:r>
    </w:p>
    <w:p w14:paraId="0C77C2E1" w14:textId="77777777" w:rsidR="001B45BE" w:rsidRPr="00A1621A" w:rsidRDefault="001B45BE" w:rsidP="001B45BE">
      <w:pPr>
        <w:numPr>
          <w:ilvl w:val="0"/>
          <w:numId w:val="1"/>
        </w:num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Istruttore</w:t>
      </w:r>
    </w:p>
    <w:p w14:paraId="697BF792" w14:textId="77777777" w:rsidR="001B45BE" w:rsidRPr="00A1621A" w:rsidRDefault="001B45BE" w:rsidP="001B45BE">
      <w:pPr>
        <w:numPr>
          <w:ilvl w:val="0"/>
          <w:numId w:val="1"/>
        </w:num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Funzionario</w:t>
      </w:r>
    </w:p>
    <w:p w14:paraId="53D580F7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Si chiede pertanto se debbano essere quotati tutti, viste le diverse tipologia di mansioni richieste (es. farmacista, commesso etc.) oppure se solo uno e quindi indicazione di quale.</w:t>
      </w:r>
    </w:p>
    <w:p w14:paraId="40C17745" w14:textId="5E2BBB86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 xml:space="preserve"> RISPOSTA </w:t>
      </w:r>
      <w:r w:rsidR="0057782D">
        <w:rPr>
          <w:rFonts w:ascii="Calibri" w:hAnsi="Calibri" w:cs="Calibri"/>
          <w:b/>
          <w:bCs/>
        </w:rPr>
        <w:t>16</w:t>
      </w:r>
    </w:p>
    <w:p w14:paraId="59096F5A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>SI, devono essere quotati tutti.</w:t>
      </w:r>
    </w:p>
    <w:p w14:paraId="5A01AF01" w14:textId="5D196F32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 xml:space="preserve">DOMANDA </w:t>
      </w:r>
      <w:r w:rsidR="0057782D">
        <w:rPr>
          <w:rFonts w:ascii="Calibri" w:hAnsi="Calibri" w:cs="Calibri"/>
          <w:b/>
          <w:bCs/>
        </w:rPr>
        <w:t>17</w:t>
      </w:r>
    </w:p>
    <w:p w14:paraId="0DA39501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 xml:space="preserve">ART. 3 AVVISO MANIFESTAZIONE DI INTERESSE Posto che il lavoratore, ai sensi dell'art. 34, co. 3, del </w:t>
      </w:r>
      <w:proofErr w:type="spellStart"/>
      <w:r w:rsidRPr="00A1621A">
        <w:rPr>
          <w:rFonts w:ascii="Calibri" w:hAnsi="Calibri" w:cs="Calibri"/>
        </w:rPr>
        <w:t>D.Lgs.</w:t>
      </w:r>
      <w:proofErr w:type="spellEnd"/>
      <w:r w:rsidRPr="00A1621A">
        <w:rPr>
          <w:rFonts w:ascii="Calibri" w:hAnsi="Calibri" w:cs="Calibri"/>
        </w:rPr>
        <w:t xml:space="preserve"> n. 81/2015 </w:t>
      </w:r>
      <w:proofErr w:type="spellStart"/>
      <w:r w:rsidRPr="00A1621A">
        <w:rPr>
          <w:rFonts w:ascii="Calibri" w:hAnsi="Calibri" w:cs="Calibri"/>
        </w:rPr>
        <w:t>ss.</w:t>
      </w:r>
      <w:proofErr w:type="gramStart"/>
      <w:r w:rsidRPr="00A1621A">
        <w:rPr>
          <w:rFonts w:ascii="Calibri" w:hAnsi="Calibri" w:cs="Calibri"/>
        </w:rPr>
        <w:t>mm.ii</w:t>
      </w:r>
      <w:proofErr w:type="spellEnd"/>
      <w:proofErr w:type="gramEnd"/>
      <w:r w:rsidRPr="00A1621A">
        <w:rPr>
          <w:rFonts w:ascii="Calibri" w:hAnsi="Calibri" w:cs="Calibri"/>
        </w:rPr>
        <w:t xml:space="preserve"> è computato nell'organico dell'Utilizzatore ai fini della applicazione della normativa in materia d'igiene e sicurezza sul lavoro e che, ai sensi dell'art. 35, comma 4 d. lgs. 81/2015 </w:t>
      </w:r>
      <w:proofErr w:type="spellStart"/>
      <w:r w:rsidRPr="00A1621A">
        <w:rPr>
          <w:rFonts w:ascii="Calibri" w:hAnsi="Calibri" w:cs="Calibri"/>
        </w:rPr>
        <w:t>ss.</w:t>
      </w:r>
      <w:proofErr w:type="gramStart"/>
      <w:r w:rsidRPr="00A1621A">
        <w:rPr>
          <w:rFonts w:ascii="Calibri" w:hAnsi="Calibri" w:cs="Calibri"/>
        </w:rPr>
        <w:t>mm.ii</w:t>
      </w:r>
      <w:proofErr w:type="spellEnd"/>
      <w:proofErr w:type="gramEnd"/>
      <w:r w:rsidRPr="00A1621A">
        <w:rPr>
          <w:rFonts w:ascii="Calibri" w:hAnsi="Calibri" w:cs="Calibri"/>
        </w:rPr>
        <w:t xml:space="preserve">, tutti gli obblighi in materia di prevenzione e protezione sono in capo all’utilizzatore, ne deriva </w:t>
      </w:r>
      <w:r w:rsidRPr="00A1621A">
        <w:rPr>
          <w:rFonts w:ascii="Calibri" w:hAnsi="Calibri" w:cs="Calibri"/>
        </w:rPr>
        <w:lastRenderedPageBreak/>
        <w:t xml:space="preserve">che la formazione sui rischi specifici e l’addestramento non possano che essere posti in capo all'azienda utilizzatrice. L'addestramento, inteso come complesso delle attività volte a garantire l’apprendimento da parte dei lavoratori somministrati dell’utilizzo corretto – a seconda delle attività affidate - di attrezzature, impianti, sostanze, dispositivi “viene effettuato da persona esperta e sul luogo di lavoro” (art. 37 co. 5 D.lgs. 81/08 </w:t>
      </w:r>
      <w:proofErr w:type="spellStart"/>
      <w:r w:rsidRPr="00A1621A">
        <w:rPr>
          <w:rFonts w:ascii="Calibri" w:hAnsi="Calibri" w:cs="Calibri"/>
        </w:rPr>
        <w:t>ss.</w:t>
      </w:r>
      <w:proofErr w:type="gramStart"/>
      <w:r w:rsidRPr="00A1621A">
        <w:rPr>
          <w:rFonts w:ascii="Calibri" w:hAnsi="Calibri" w:cs="Calibri"/>
        </w:rPr>
        <w:t>mm.ii</w:t>
      </w:r>
      <w:proofErr w:type="spellEnd"/>
      <w:proofErr w:type="gramEnd"/>
      <w:r w:rsidRPr="00A1621A">
        <w:rPr>
          <w:rFonts w:ascii="Calibri" w:hAnsi="Calibri" w:cs="Calibri"/>
        </w:rPr>
        <w:t>). La ratio della norma è duplice: sotto un primo profilo garantire un addestramento idoneo che, nell’ambito della somministrazione, non può che realizzarsi a cura del datore di lavoro sostanziale (</w:t>
      </w:r>
      <w:proofErr w:type="spellStart"/>
      <w:r w:rsidRPr="00A1621A">
        <w:rPr>
          <w:rFonts w:ascii="Calibri" w:hAnsi="Calibri" w:cs="Calibri"/>
        </w:rPr>
        <w:t>rectius</w:t>
      </w:r>
      <w:proofErr w:type="spellEnd"/>
      <w:r w:rsidRPr="00A1621A">
        <w:rPr>
          <w:rFonts w:ascii="Calibri" w:hAnsi="Calibri" w:cs="Calibri"/>
        </w:rPr>
        <w:t xml:space="preserve"> utilizzatore) che </w:t>
      </w:r>
      <w:proofErr w:type="spellStart"/>
      <w:r w:rsidRPr="00A1621A">
        <w:rPr>
          <w:rFonts w:ascii="Calibri" w:hAnsi="Calibri" w:cs="Calibri"/>
        </w:rPr>
        <w:t>eterodirige</w:t>
      </w:r>
      <w:proofErr w:type="spellEnd"/>
      <w:r w:rsidRPr="00A1621A">
        <w:rPr>
          <w:rFonts w:ascii="Calibri" w:hAnsi="Calibri" w:cs="Calibri"/>
        </w:rPr>
        <w:t xml:space="preserve"> la prestazione di lavoro ed adotta il documento di valutazione dei rischi relativo ai luoghi di lavoro ove è svolta la prestazione lavorativa; sotto altro profilo garantire che l’addestramento sia efficace e, dunque, atto a prevenire eventi infortunistici o malattie professionali.  Alla luce di tale premessa, si chiede conferma che solo l’informazione e la formazione in materia di sicurezza con riferimento al solo “modulo generale” sarà posta in capo all’aggiudicatario;</w:t>
      </w:r>
    </w:p>
    <w:p w14:paraId="57980075" w14:textId="2F9A8CF2" w:rsidR="001B45BE" w:rsidRPr="00A1621A" w:rsidRDefault="001B45BE" w:rsidP="001B45BE">
      <w:pPr>
        <w:ind w:right="-285"/>
        <w:jc w:val="both"/>
        <w:rPr>
          <w:rFonts w:ascii="Calibri" w:hAnsi="Calibri" w:cs="Calibri"/>
          <w:b/>
          <w:bCs/>
        </w:rPr>
      </w:pPr>
      <w:r w:rsidRPr="00A1621A">
        <w:rPr>
          <w:rFonts w:ascii="Calibri" w:hAnsi="Calibri" w:cs="Calibri"/>
          <w:b/>
          <w:bCs/>
        </w:rPr>
        <w:t xml:space="preserve">RISPOSTA </w:t>
      </w:r>
      <w:r w:rsidR="0057782D">
        <w:rPr>
          <w:rFonts w:ascii="Calibri" w:hAnsi="Calibri" w:cs="Calibri"/>
          <w:b/>
          <w:bCs/>
        </w:rPr>
        <w:t>17</w:t>
      </w:r>
    </w:p>
    <w:p w14:paraId="7D567213" w14:textId="77777777" w:rsidR="001B45BE" w:rsidRPr="00A1621A" w:rsidRDefault="001B45BE" w:rsidP="001B45BE">
      <w:pPr>
        <w:ind w:right="-285"/>
        <w:jc w:val="both"/>
        <w:rPr>
          <w:rFonts w:ascii="Calibri" w:hAnsi="Calibri" w:cs="Calibri"/>
        </w:rPr>
      </w:pPr>
      <w:r w:rsidRPr="00A1621A">
        <w:rPr>
          <w:rFonts w:ascii="Calibri" w:hAnsi="Calibri" w:cs="Calibri"/>
        </w:rPr>
        <w:t xml:space="preserve">Si, Il </w:t>
      </w:r>
      <w:proofErr w:type="spellStart"/>
      <w:r w:rsidRPr="00A1621A">
        <w:rPr>
          <w:rFonts w:ascii="Calibri" w:hAnsi="Calibri" w:cs="Calibri"/>
        </w:rPr>
        <w:t>Cfi</w:t>
      </w:r>
      <w:proofErr w:type="spellEnd"/>
      <w:r w:rsidRPr="00A1621A">
        <w:rPr>
          <w:rFonts w:ascii="Calibri" w:hAnsi="Calibri" w:cs="Calibri"/>
        </w:rPr>
        <w:t xml:space="preserve"> dovrà fare la sicurezza specifica.</w:t>
      </w:r>
    </w:p>
    <w:p w14:paraId="25C12F1C" w14:textId="77777777" w:rsidR="008F31D7" w:rsidRDefault="008F31D7"/>
    <w:sectPr w:rsidR="008F31D7" w:rsidSect="001B45BE">
      <w:headerReference w:type="default" r:id="rId7"/>
      <w:pgSz w:w="11906" w:h="16838"/>
      <w:pgMar w:top="321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A1259" w14:textId="77777777" w:rsidR="00D00CF2" w:rsidRDefault="00D00CF2">
      <w:pPr>
        <w:spacing w:after="0" w:line="240" w:lineRule="auto"/>
      </w:pPr>
      <w:r>
        <w:separator/>
      </w:r>
    </w:p>
  </w:endnote>
  <w:endnote w:type="continuationSeparator" w:id="0">
    <w:p w14:paraId="221A4109" w14:textId="77777777" w:rsidR="00D00CF2" w:rsidRDefault="00D0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F4C48" w14:textId="77777777" w:rsidR="00D00CF2" w:rsidRDefault="00D00CF2">
      <w:pPr>
        <w:spacing w:after="0" w:line="240" w:lineRule="auto"/>
      </w:pPr>
      <w:r>
        <w:separator/>
      </w:r>
    </w:p>
  </w:footnote>
  <w:footnote w:type="continuationSeparator" w:id="0">
    <w:p w14:paraId="41F5964D" w14:textId="77777777" w:rsidR="00D00CF2" w:rsidRDefault="00D0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407B" w14:textId="77777777" w:rsidR="001B45BE" w:rsidRDefault="001B45BE">
    <w:pPr>
      <w:pStyle w:val="Intestazione"/>
    </w:pPr>
  </w:p>
  <w:p w14:paraId="12AD9903" w14:textId="77777777" w:rsidR="001B45BE" w:rsidRDefault="001B45BE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27DC17D9" wp14:editId="418BA238">
          <wp:simplePos x="0" y="0"/>
          <wp:positionH relativeFrom="page">
            <wp:posOffset>720090</wp:posOffset>
          </wp:positionH>
          <wp:positionV relativeFrom="page">
            <wp:posOffset>635000</wp:posOffset>
          </wp:positionV>
          <wp:extent cx="681450" cy="1164312"/>
          <wp:effectExtent l="0" t="0" r="0" b="0"/>
          <wp:wrapNone/>
          <wp:docPr id="1090363133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450" cy="1164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0288" behindDoc="1" locked="0" layoutInCell="1" allowOverlap="1" wp14:anchorId="24DB15A3" wp14:editId="03D9D926">
          <wp:simplePos x="0" y="0"/>
          <wp:positionH relativeFrom="page">
            <wp:posOffset>4873625</wp:posOffset>
          </wp:positionH>
          <wp:positionV relativeFrom="page">
            <wp:posOffset>643890</wp:posOffset>
          </wp:positionV>
          <wp:extent cx="2345435" cy="1083564"/>
          <wp:effectExtent l="0" t="0" r="0" b="0"/>
          <wp:wrapNone/>
          <wp:docPr id="1742575131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45435" cy="1083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D3B1FA" w14:textId="77777777" w:rsidR="001B45BE" w:rsidRDefault="001B45BE">
    <w:pPr>
      <w:pStyle w:val="Intestazione"/>
    </w:pPr>
  </w:p>
  <w:p w14:paraId="5C5F8BE6" w14:textId="77777777" w:rsidR="001B45BE" w:rsidRDefault="001B45BE">
    <w:pPr>
      <w:pStyle w:val="Intestazione"/>
    </w:pPr>
  </w:p>
  <w:p w14:paraId="5886ECB7" w14:textId="77777777" w:rsidR="001B45BE" w:rsidRDefault="001B45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3F2"/>
    <w:multiLevelType w:val="multilevel"/>
    <w:tmpl w:val="20DA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A3"/>
    <w:rsid w:val="00081654"/>
    <w:rsid w:val="001B45BE"/>
    <w:rsid w:val="00384CA3"/>
    <w:rsid w:val="00414909"/>
    <w:rsid w:val="0057782D"/>
    <w:rsid w:val="005E5743"/>
    <w:rsid w:val="007823AE"/>
    <w:rsid w:val="0089299F"/>
    <w:rsid w:val="008F31D7"/>
    <w:rsid w:val="00A50E46"/>
    <w:rsid w:val="00B9512C"/>
    <w:rsid w:val="00D00CF2"/>
    <w:rsid w:val="00F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5573"/>
  <w15:chartTrackingRefBased/>
  <w15:docId w15:val="{C9CA140E-9A66-4B8F-81C4-BA4268A3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45BE"/>
  </w:style>
  <w:style w:type="paragraph" w:styleId="Titolo1">
    <w:name w:val="heading 1"/>
    <w:basedOn w:val="Normale"/>
    <w:next w:val="Normale"/>
    <w:link w:val="Titolo1Carattere"/>
    <w:uiPriority w:val="9"/>
    <w:qFormat/>
    <w:rsid w:val="0038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C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C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C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C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C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C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C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C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C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C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CA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B4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</cp:lastModifiedBy>
  <cp:revision>2</cp:revision>
  <dcterms:created xsi:type="dcterms:W3CDTF">2026-03-13T11:07:00Z</dcterms:created>
  <dcterms:modified xsi:type="dcterms:W3CDTF">2026-03-13T11:07:00Z</dcterms:modified>
</cp:coreProperties>
</file>